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CURRICULUM VITAE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b w:val="1"/>
          <w:smallCaps w:val="0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Emri dhe mbiemri: Visar Krasniqi</w:t>
      </w:r>
      <w:r w:rsidDel="00000000" w:rsidR="00000000" w:rsidRPr="00000000">
        <w:rPr>
          <w:rFonts w:ascii="Book Antiqua" w:cs="Book Antiqua" w:eastAsia="Book Antiqua" w:hAnsi="Book Antiqua"/>
          <w:b w:val="1"/>
          <w:smallCaps w:val="0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Data e lindjes: 26.07.1984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Vendbanimi: Prishtinë</w: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ab/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Adresa elektronike: </w:t>
      </w:r>
      <w:hyperlink r:id="rId6">
        <w:r w:rsidDel="00000000" w:rsidR="00000000" w:rsidRPr="00000000">
          <w:rPr>
            <w:rFonts w:ascii="Book Antiqua" w:cs="Book Antiqua" w:eastAsia="Book Antiqua" w:hAnsi="Book Antiqua"/>
            <w:smallCaps w:val="0"/>
            <w:color w:val="0000ff"/>
            <w:u w:val="single"/>
            <w:rtl w:val="0"/>
          </w:rPr>
          <w:t xml:space="preserve">visar.krasniqi@rks-psh.org</w:t>
        </w:r>
      </w:hyperlink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  </w:t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Nacionaliteti: Shqiptar – Kosovar</w:t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ARSIMIMI:</w:t>
        <w:br w:type="textWrapping"/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Fakulteti Juridik, Universiteti i Prishtinës, 2006-2010; 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Studime Pasdiplomike: Master i Shkencave Juridike, Universiteti i Prishtinës, Drejtimi Penal, 2004-2006;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Provimi i Jurisprudencës, 26 shtator 2015.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PËRVOJA E PUNËS: </w:t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Zyrtar ligjor për çështje juridike, Kompania për Shërbime Juridike “Juridica – A-F” Prishtinë, 2008-2009;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Zyrtar Ligjor në Komisionin për të Drejtat e Njeriut, Barazi Gjinore për Personat e Pagjetur dhe Peticione, Kuvendi i Republikës së Kosovës, 2009 – 2010;</w:t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Zyrtar i lartë ligjor në Komisionin për Legjislacion, Kuvendi i Republikës së Kosovës, 2010-2014;</w:t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Zyrtar Ligjor në Komisionin Ad-Hoc për Amendamentimin e Kushtetutës së Republikës së Kosovës, 2010;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Koordinator i Komisionit, 2014 – 07.03.2024;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Koordinator i Komisionit Ad Hoc për Zhvillimin e Procesit të Vlerësimit Kalimtar, nga marsi 2022 deri 7 mars 2024;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Anëtar i Këshillit Prokurorial të Kosovës, 7 mars 2024. </w:t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TRAJNIMET: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Tema: Mësim Klinik, ABA Rule of Law, Fakulteti Juridik, Universiteti i Prishtinës  2005-2006;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Tema: Klinika Juridike, Oda e Avokatëve të Kosovës, 2006, Prishtinë;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Tema: Trial Advocacy Course, ABA Rule of Law Initiative, Fakulteti Juridik- Universiteti i Prishtinës &amp; U. S. Department of Justice, 2007/2008, Prishtinë;</w:t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Tema: Praktika Juridike  I, SH.P.K – Juridica-AF, 2008-2009, Prishtinë;</w:t>
      </w:r>
    </w:p>
    <w:p w:rsidR="00000000" w:rsidDel="00000000" w:rsidP="00000000" w:rsidRDefault="00000000" w:rsidRPr="00000000" w14:paraId="00000027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Tema: Legislative Drafting Training Program, USAID, 2009,Prishtinë;</w:t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Tema: Legislative Drafting Seminar, Loyola School of Law, Tulane Law School, 2009,Prishtinë;</w:t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Tema: Praktika Juridike II, SH.P.K – Juridica-a-f, 2009, Prishtinë;</w:t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Tema: Legal Drafting Workshop, National Democratic Institute, USAID, 2010,</w:t>
      </w:r>
    </w:p>
    <w:p w:rsidR="00000000" w:rsidDel="00000000" w:rsidP="00000000" w:rsidRDefault="00000000" w:rsidRPr="00000000" w14:paraId="0000002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 Prishtinë;</w:t>
      </w:r>
    </w:p>
    <w:tbl>
      <w:tblPr>
        <w:tblStyle w:val="Table1"/>
        <w:tblW w:w="1047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76"/>
        <w:tblGridChange w:id="0">
          <w:tblGrid>
            <w:gridCol w:w="1047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360" w:hanging="360"/>
            </w:pPr>
            <w:r w:rsidDel="00000000" w:rsidR="00000000" w:rsidRPr="00000000">
              <w:rPr>
                <w:rFonts w:ascii="Book Antiqua" w:cs="Book Antiqua" w:eastAsia="Book Antiqua" w:hAnsi="Book Antiqua"/>
                <w:smallCaps w:val="0"/>
                <w:rtl w:val="0"/>
              </w:rPr>
              <w:t xml:space="preserve">Tema: Policy Analysis and Research Training, National Democratic Institute, USAID</w:t>
            </w:r>
          </w:p>
          <w:p w:rsidR="00000000" w:rsidDel="00000000" w:rsidP="00000000" w:rsidRDefault="00000000" w:rsidRPr="00000000" w14:paraId="0000002D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360" w:hanging="360"/>
            </w:pPr>
            <w:r w:rsidDel="00000000" w:rsidR="00000000" w:rsidRPr="00000000">
              <w:rPr>
                <w:rFonts w:ascii="Book Antiqua" w:cs="Book Antiqua" w:eastAsia="Book Antiqua" w:hAnsi="Book Antiqua"/>
                <w:smallCaps w:val="0"/>
                <w:rtl w:val="0"/>
              </w:rPr>
              <w:t xml:space="preserve">2010, Prishtinë, Kosovë;</w:t>
            </w:r>
          </w:p>
          <w:p w:rsidR="00000000" w:rsidDel="00000000" w:rsidP="00000000" w:rsidRDefault="00000000" w:rsidRPr="00000000" w14:paraId="0000002E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360" w:hanging="360"/>
            </w:pPr>
            <w:r w:rsidDel="00000000" w:rsidR="00000000" w:rsidRPr="00000000">
              <w:rPr>
                <w:rFonts w:ascii="Book Antiqua" w:cs="Book Antiqua" w:eastAsia="Book Antiqua" w:hAnsi="Book Antiqua"/>
                <w:smallCaps w:val="0"/>
                <w:rtl w:val="0"/>
              </w:rPr>
              <w:t xml:space="preserve">Tema: EU Law and its implementation, European Institute of Public Administration,</w:t>
            </w:r>
          </w:p>
          <w:p w:rsidR="00000000" w:rsidDel="00000000" w:rsidP="00000000" w:rsidRDefault="00000000" w:rsidRPr="00000000" w14:paraId="0000002F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360" w:hanging="360"/>
            </w:pPr>
            <w:r w:rsidDel="00000000" w:rsidR="00000000" w:rsidRPr="00000000">
              <w:rPr>
                <w:rFonts w:ascii="Book Antiqua" w:cs="Book Antiqua" w:eastAsia="Book Antiqua" w:hAnsi="Book Antiqua"/>
                <w:smallCaps w:val="0"/>
                <w:rtl w:val="0"/>
              </w:rPr>
              <w:t xml:space="preserve">2010, Prishtinë;</w:t>
            </w:r>
          </w:p>
          <w:p w:rsidR="00000000" w:rsidDel="00000000" w:rsidP="00000000" w:rsidRDefault="00000000" w:rsidRPr="00000000" w14:paraId="0000003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Book Antiqua" w:cs="Book Antiqua" w:eastAsia="Book Antiqua" w:hAnsi="Book Antiqua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GJUHËT:</w:t>
      </w:r>
    </w:p>
    <w:p w:rsidR="00000000" w:rsidDel="00000000" w:rsidP="00000000" w:rsidRDefault="00000000" w:rsidRPr="00000000" w14:paraId="0000003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Gjuha amtare: Shqip</w:t>
      </w:r>
    </w:p>
    <w:p w:rsidR="00000000" w:rsidDel="00000000" w:rsidP="00000000" w:rsidRDefault="00000000" w:rsidRPr="00000000" w14:paraId="0000003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hanging="360"/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Gjuha          Leximi             Shkrimi           Të folurit        Dëgjimi</w:t>
      </w:r>
    </w:p>
    <w:p w:rsidR="00000000" w:rsidDel="00000000" w:rsidP="00000000" w:rsidRDefault="00000000" w:rsidRPr="00000000" w14:paraId="0000003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Anglisht      Mirë                  Mirë                Mirë                Mirë</w:t>
      </w:r>
    </w:p>
    <w:p w:rsidR="00000000" w:rsidDel="00000000" w:rsidP="00000000" w:rsidRDefault="00000000" w:rsidRPr="00000000" w14:paraId="000000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Serbisht       Themelore       Themelore      Themelore     Themelore</w:t>
      </w:r>
    </w:p>
    <w:p w:rsidR="00000000" w:rsidDel="00000000" w:rsidP="00000000" w:rsidRDefault="00000000" w:rsidRPr="00000000" w14:paraId="000000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AFTËSITË KOMPJUTERIKE:</w:t>
      </w:r>
    </w:p>
    <w:p w:rsidR="00000000" w:rsidDel="00000000" w:rsidP="00000000" w:rsidRDefault="00000000" w:rsidRPr="00000000" w14:paraId="000000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Fonts w:ascii="Book Antiqua" w:cs="Book Antiqua" w:eastAsia="Book Antiqua" w:hAnsi="Book Antiqua"/>
          <w:smallCaps w:val="0"/>
          <w:rtl w:val="0"/>
        </w:rPr>
        <w:t xml:space="preserve">Aftësi të shkëlqyeshme për punë me programet e Microsoft Office, siç janë: Word, Excel, Power Point, Internet Explorer dhe aftësi tjera të nevojshme për punë. </w:t>
      </w:r>
    </w:p>
    <w:p w:rsidR="00000000" w:rsidDel="00000000" w:rsidP="00000000" w:rsidRDefault="00000000" w:rsidRPr="00000000" w14:paraId="0000003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jc w:val="both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Book Antiqua" w:cs="Book Antiqua" w:eastAsia="Book Antiqua" w:hAnsi="Book Antiqua"/>
          <w:smallCaps w:val="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63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▪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▪"/>
      <w:lvlJc w:val="left"/>
      <w:pPr>
        <w:ind w:left="3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080" w:hanging="108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520" w:hanging="25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240" w:hanging="32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4680" w:hanging="46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400" w:hanging="54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▪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▪"/>
      <w:lvlJc w:val="left"/>
      <w:pPr>
        <w:ind w:left="720" w:hanging="7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4"/>
        <w:szCs w:val="24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smallCaps w:val="0"/>
    </w:rPr>
  </w:style>
  <w:style w:type="paragraph" w:styleId="Heading2">
    <w:name w:val="heading 2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smallCaps w:val="0"/>
    </w:rPr>
  </w:style>
  <w:style w:type="paragraph" w:styleId="Heading3">
    <w:name w:val="heading 3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smallCaps w:val="0"/>
    </w:rPr>
  </w:style>
  <w:style w:type="paragraph" w:styleId="Heading4">
    <w:name w:val="heading 4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smallCaps w:val="0"/>
    </w:rPr>
  </w:style>
  <w:style w:type="paragraph" w:styleId="Heading5">
    <w:name w:val="heading 5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smallCaps w:val="0"/>
    </w:rPr>
  </w:style>
  <w:style w:type="paragraph" w:styleId="Heading6">
    <w:name w:val="heading 6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2"/>
      <w:szCs w:val="22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  <w:jc w:val="center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visar.krasniqi@rks-psh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